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9550" w14:textId="06BE03EE" w:rsidR="003447E5" w:rsidRPr="004446E0" w:rsidRDefault="00F7253C" w:rsidP="003447E5">
      <w:pPr>
        <w:spacing w:line="3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Modulové </w:t>
      </w:r>
      <w:r w:rsidR="00394479">
        <w:rPr>
          <w:b/>
          <w:sz w:val="28"/>
          <w:szCs w:val="28"/>
        </w:rPr>
        <w:t xml:space="preserve">stavby pomáhají </w:t>
      </w:r>
      <w:r w:rsidR="00E84A19">
        <w:rPr>
          <w:b/>
          <w:sz w:val="28"/>
          <w:szCs w:val="28"/>
        </w:rPr>
        <w:t>Německu zvládnout příval uprchlíků</w:t>
      </w:r>
    </w:p>
    <w:p w14:paraId="54B13431" w14:textId="42FDEFB1" w:rsidR="003447E5" w:rsidRPr="00BD7018" w:rsidRDefault="003447E5" w:rsidP="003447E5">
      <w:pPr>
        <w:spacing w:line="320" w:lineRule="atLeast"/>
        <w:rPr>
          <w:b/>
          <w:color w:val="FF0000"/>
        </w:rPr>
      </w:pPr>
    </w:p>
    <w:p w14:paraId="46BD24BB" w14:textId="652824D5" w:rsidR="00F7253C" w:rsidRDefault="00DE5A79" w:rsidP="00C81992">
      <w:pPr>
        <w:spacing w:after="200" w:line="360" w:lineRule="auto"/>
        <w:jc w:val="both"/>
        <w:rPr>
          <w:b/>
        </w:rPr>
      </w:pPr>
      <w:r w:rsidRPr="00E408E7">
        <w:rPr>
          <w:b/>
        </w:rPr>
        <w:t xml:space="preserve">Praha, </w:t>
      </w:r>
      <w:r w:rsidR="00BF1ED8">
        <w:rPr>
          <w:b/>
        </w:rPr>
        <w:t>2</w:t>
      </w:r>
      <w:r w:rsidRPr="00E408E7">
        <w:rPr>
          <w:b/>
        </w:rPr>
        <w:t xml:space="preserve">. </w:t>
      </w:r>
      <w:r w:rsidR="00C81992">
        <w:rPr>
          <w:b/>
        </w:rPr>
        <w:t>10</w:t>
      </w:r>
      <w:r w:rsidRPr="00E408E7">
        <w:rPr>
          <w:b/>
        </w:rPr>
        <w:t>. 201</w:t>
      </w:r>
      <w:r w:rsidR="00B912CB" w:rsidRPr="00E408E7">
        <w:rPr>
          <w:b/>
        </w:rPr>
        <w:t>5</w:t>
      </w:r>
      <w:r w:rsidRPr="00E408E7">
        <w:rPr>
          <w:b/>
        </w:rPr>
        <w:t xml:space="preserve"> –</w:t>
      </w:r>
      <w:r w:rsidR="001430C1" w:rsidRPr="00E408E7">
        <w:rPr>
          <w:b/>
        </w:rPr>
        <w:t xml:space="preserve"> </w:t>
      </w:r>
      <w:r w:rsidR="00F7253C">
        <w:rPr>
          <w:b/>
        </w:rPr>
        <w:t xml:space="preserve">Uprchlická krize neustává a evropské země </w:t>
      </w:r>
      <w:r w:rsidR="00394479">
        <w:rPr>
          <w:b/>
        </w:rPr>
        <w:t>potřebují zajistit ubytování pro přetrvávající proud běženců</w:t>
      </w:r>
      <w:r w:rsidR="00F7253C">
        <w:rPr>
          <w:b/>
        </w:rPr>
        <w:t xml:space="preserve">. </w:t>
      </w:r>
      <w:r w:rsidR="00394479">
        <w:rPr>
          <w:b/>
        </w:rPr>
        <w:t>Narychlo se hledají různé nevyužívané objekty, které ale často nejsou optimální ani pro dočasné bydlení migrantů. Vhodn</w:t>
      </w:r>
      <w:r w:rsidR="00E84A19">
        <w:rPr>
          <w:b/>
        </w:rPr>
        <w:t>ým řešením</w:t>
      </w:r>
      <w:r w:rsidR="00917BB4">
        <w:rPr>
          <w:b/>
        </w:rPr>
        <w:t xml:space="preserve"> </w:t>
      </w:r>
      <w:r w:rsidR="00394479">
        <w:rPr>
          <w:b/>
        </w:rPr>
        <w:t xml:space="preserve">jsou modulové objekty, které </w:t>
      </w:r>
      <w:r w:rsidR="00227F55">
        <w:rPr>
          <w:b/>
        </w:rPr>
        <w:t xml:space="preserve">poskytují </w:t>
      </w:r>
      <w:r w:rsidR="00E84A19">
        <w:rPr>
          <w:b/>
        </w:rPr>
        <w:t>kvalitní a důstojné</w:t>
      </w:r>
      <w:r w:rsidR="00394479">
        <w:rPr>
          <w:b/>
        </w:rPr>
        <w:t xml:space="preserve"> ubytování. </w:t>
      </w:r>
      <w:r w:rsidR="005F4A02">
        <w:rPr>
          <w:b/>
        </w:rPr>
        <w:t xml:space="preserve">Lze je postavit velice rychle, jsou flexibilní a ekonomicky úsporné, což si uvědomují především v Německu, kde poptávka po </w:t>
      </w:r>
      <w:r w:rsidR="00E84A19">
        <w:rPr>
          <w:b/>
        </w:rPr>
        <w:t xml:space="preserve">modulových bytových domech a ubytování hotelového typu </w:t>
      </w:r>
      <w:r w:rsidR="005F4A02">
        <w:rPr>
          <w:b/>
        </w:rPr>
        <w:t xml:space="preserve">v posledních měsících raketově vzrostla. Výrobci v Česku, které je </w:t>
      </w:r>
      <w:r w:rsidR="00D152E5">
        <w:rPr>
          <w:b/>
        </w:rPr>
        <w:t xml:space="preserve">v oboru </w:t>
      </w:r>
      <w:r w:rsidR="005F4A02">
        <w:rPr>
          <w:b/>
        </w:rPr>
        <w:t>evropskou velmocí, nestíhají</w:t>
      </w:r>
      <w:r w:rsidR="00227F55">
        <w:rPr>
          <w:b/>
        </w:rPr>
        <w:t xml:space="preserve"> uspokojovat poptávku</w:t>
      </w:r>
      <w:r w:rsidR="005F4A02">
        <w:rPr>
          <w:b/>
        </w:rPr>
        <w:t xml:space="preserve">. </w:t>
      </w:r>
    </w:p>
    <w:p w14:paraId="7C8E7D85" w14:textId="16B9609B" w:rsidR="003F282D" w:rsidRDefault="007B3508" w:rsidP="00190C66">
      <w:pPr>
        <w:spacing w:line="360" w:lineRule="auto"/>
        <w:jc w:val="both"/>
      </w:pPr>
      <w:r w:rsidRPr="007B3508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FEE0946" wp14:editId="31050AC7">
            <wp:simplePos x="0" y="0"/>
            <wp:positionH relativeFrom="margin">
              <wp:align>right</wp:align>
            </wp:positionH>
            <wp:positionV relativeFrom="paragraph">
              <wp:posOffset>1588770</wp:posOffset>
            </wp:positionV>
            <wp:extent cx="2083435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330" y="21424"/>
                <wp:lineTo x="21330" y="0"/>
                <wp:lineTo x="0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82D" w:rsidRPr="009A2A06">
        <w:t>Společnost Touax zvýšila výrobní kapacitu</w:t>
      </w:r>
      <w:r w:rsidR="003F282D">
        <w:t xml:space="preserve"> a</w:t>
      </w:r>
      <w:r w:rsidR="003F282D" w:rsidRPr="009A2A06">
        <w:t xml:space="preserve"> přijala do svého závodu v Supíkovicích na </w:t>
      </w:r>
      <w:r w:rsidR="00D152E5">
        <w:t>Jesenicku</w:t>
      </w:r>
      <w:r w:rsidR="003F282D" w:rsidRPr="009A2A06">
        <w:t xml:space="preserve"> 40 nových zaměstnanců</w:t>
      </w:r>
      <w:r w:rsidR="00D152E5">
        <w:t>.</w:t>
      </w:r>
      <w:r w:rsidR="003F282D">
        <w:t xml:space="preserve"> </w:t>
      </w:r>
      <w:r w:rsidR="003F282D" w:rsidRPr="009A2A06">
        <w:rPr>
          <w:i/>
        </w:rPr>
        <w:t>„</w:t>
      </w:r>
      <w:r w:rsidR="00227F55">
        <w:rPr>
          <w:i/>
        </w:rPr>
        <w:t xml:space="preserve">Potřebovali bychom </w:t>
      </w:r>
      <w:r w:rsidR="003F282D" w:rsidRPr="009A2A06">
        <w:rPr>
          <w:i/>
        </w:rPr>
        <w:t xml:space="preserve">dalších zhruba </w:t>
      </w:r>
      <w:r w:rsidR="00D152E5">
        <w:rPr>
          <w:i/>
        </w:rPr>
        <w:t>4</w:t>
      </w:r>
      <w:r w:rsidR="003F282D" w:rsidRPr="009A2A06">
        <w:rPr>
          <w:i/>
        </w:rPr>
        <w:t xml:space="preserve">0 </w:t>
      </w:r>
      <w:r w:rsidR="00D152E5">
        <w:rPr>
          <w:i/>
        </w:rPr>
        <w:t>dělníků a THP pracovníků</w:t>
      </w:r>
      <w:r w:rsidR="00917BB4">
        <w:rPr>
          <w:i/>
        </w:rPr>
        <w:t>.</w:t>
      </w:r>
      <w:r w:rsidR="003F282D" w:rsidRPr="00190C66">
        <w:rPr>
          <w:i/>
        </w:rPr>
        <w:t xml:space="preserve"> </w:t>
      </w:r>
      <w:r w:rsidR="00917BB4">
        <w:rPr>
          <w:i/>
        </w:rPr>
        <w:t>Z</w:t>
      </w:r>
      <w:r w:rsidR="003F282D" w:rsidRPr="009A2A06">
        <w:rPr>
          <w:i/>
        </w:rPr>
        <w:t>ejména elektrikáři, podlaháři,</w:t>
      </w:r>
      <w:r w:rsidR="003F282D">
        <w:rPr>
          <w:i/>
        </w:rPr>
        <w:t xml:space="preserve"> sádrokart</w:t>
      </w:r>
      <w:r w:rsidR="00235C8E">
        <w:rPr>
          <w:i/>
        </w:rPr>
        <w:t>o</w:t>
      </w:r>
      <w:r w:rsidR="003F282D">
        <w:rPr>
          <w:i/>
        </w:rPr>
        <w:t>náři a</w:t>
      </w:r>
      <w:r w:rsidR="00227F55">
        <w:rPr>
          <w:i/>
        </w:rPr>
        <w:t> </w:t>
      </w:r>
      <w:r w:rsidR="003F282D" w:rsidRPr="009A2A06">
        <w:rPr>
          <w:i/>
        </w:rPr>
        <w:t xml:space="preserve">instalatéři ovšem v regionu chybí, musíme se </w:t>
      </w:r>
      <w:r w:rsidR="00D152E5">
        <w:rPr>
          <w:i/>
        </w:rPr>
        <w:t xml:space="preserve">proto </w:t>
      </w:r>
      <w:r w:rsidR="003F282D" w:rsidRPr="009A2A06">
        <w:rPr>
          <w:i/>
        </w:rPr>
        <w:t xml:space="preserve">poohlížet i v sousedním Polsku. </w:t>
      </w:r>
      <w:r w:rsidR="0020466B">
        <w:rPr>
          <w:i/>
        </w:rPr>
        <w:t>Sjednanými zakázkami jsme vytíženi</w:t>
      </w:r>
      <w:r w:rsidR="0020466B" w:rsidRPr="0020466B">
        <w:rPr>
          <w:i/>
        </w:rPr>
        <w:t xml:space="preserve"> </w:t>
      </w:r>
      <w:r w:rsidR="0020466B">
        <w:rPr>
          <w:i/>
        </w:rPr>
        <w:t xml:space="preserve">až do poloviny roku 2016 a nové </w:t>
      </w:r>
      <w:r w:rsidR="006245CC">
        <w:rPr>
          <w:i/>
        </w:rPr>
        <w:t xml:space="preserve">zájemce </w:t>
      </w:r>
      <w:r w:rsidR="0020466B">
        <w:rPr>
          <w:i/>
        </w:rPr>
        <w:t>z Německa musíme odmítat</w:t>
      </w:r>
      <w:r w:rsidR="0020466B" w:rsidRPr="009A2A06">
        <w:rPr>
          <w:i/>
        </w:rPr>
        <w:t>.</w:t>
      </w:r>
      <w:r w:rsidR="0020466B">
        <w:rPr>
          <w:i/>
        </w:rPr>
        <w:t xml:space="preserve"> </w:t>
      </w:r>
      <w:r w:rsidR="0020466B" w:rsidRPr="009A2A06">
        <w:rPr>
          <w:i/>
        </w:rPr>
        <w:t xml:space="preserve">Navíc registrujeme </w:t>
      </w:r>
      <w:r w:rsidR="0020466B">
        <w:rPr>
          <w:i/>
        </w:rPr>
        <w:t xml:space="preserve">další </w:t>
      </w:r>
      <w:r w:rsidR="0020466B" w:rsidRPr="009A2A06">
        <w:rPr>
          <w:i/>
        </w:rPr>
        <w:t xml:space="preserve">poptávky </w:t>
      </w:r>
      <w:r w:rsidR="0020466B">
        <w:rPr>
          <w:i/>
        </w:rPr>
        <w:t xml:space="preserve">na objekty pro uprchlíky </w:t>
      </w:r>
      <w:r w:rsidR="0020466B" w:rsidRPr="009A2A06">
        <w:rPr>
          <w:i/>
        </w:rPr>
        <w:t xml:space="preserve">ze Švédska, Rakouska </w:t>
      </w:r>
      <w:r w:rsidR="0020466B">
        <w:rPr>
          <w:i/>
        </w:rPr>
        <w:t>a</w:t>
      </w:r>
      <w:r w:rsidR="006245CC">
        <w:rPr>
          <w:i/>
        </w:rPr>
        <w:t> </w:t>
      </w:r>
      <w:r w:rsidR="0020466B" w:rsidRPr="009A2A06">
        <w:rPr>
          <w:i/>
        </w:rPr>
        <w:t>Maďarska</w:t>
      </w:r>
      <w:r w:rsidR="0020466B">
        <w:rPr>
          <w:i/>
        </w:rPr>
        <w:t xml:space="preserve">. </w:t>
      </w:r>
      <w:r w:rsidR="00D152E5">
        <w:rPr>
          <w:i/>
        </w:rPr>
        <w:t xml:space="preserve">Pracujeme </w:t>
      </w:r>
      <w:r w:rsidR="0020466B">
        <w:rPr>
          <w:i/>
        </w:rPr>
        <w:t xml:space="preserve">proto </w:t>
      </w:r>
      <w:r w:rsidR="00D152E5">
        <w:rPr>
          <w:i/>
        </w:rPr>
        <w:t>na optimalizaci výrobních procesů a z</w:t>
      </w:r>
      <w:r w:rsidR="00D152E5" w:rsidRPr="009A2A06">
        <w:rPr>
          <w:i/>
        </w:rPr>
        <w:t>važujeme i možnosti rozšíření závodu</w:t>
      </w:r>
      <w:r w:rsidR="003F282D" w:rsidRPr="009A2A06">
        <w:rPr>
          <w:i/>
        </w:rPr>
        <w:t xml:space="preserve">,“ </w:t>
      </w:r>
      <w:r w:rsidR="003F282D">
        <w:t xml:space="preserve">říká Jan Petr, marketingový ředitel společnosti Touax. </w:t>
      </w:r>
      <w:r w:rsidR="007E1FDC">
        <w:t>Uprchlickou vlnou je nejvíce postiženo Německo</w:t>
      </w:r>
      <w:r w:rsidR="001157AB">
        <w:t xml:space="preserve">. </w:t>
      </w:r>
      <w:r w:rsidR="003F282D">
        <w:t>Poptávky přicház</w:t>
      </w:r>
      <w:r w:rsidR="001539C1">
        <w:t>ej</w:t>
      </w:r>
      <w:r w:rsidR="003F282D">
        <w:t>í</w:t>
      </w:r>
      <w:r w:rsidR="00227F55">
        <w:t xml:space="preserve"> nejen</w:t>
      </w:r>
      <w:r w:rsidR="003F282D">
        <w:t xml:space="preserve"> z velkých měst – z Berlína, Mnichova, Hamburku, </w:t>
      </w:r>
      <w:r w:rsidR="00887E8E">
        <w:t xml:space="preserve">Hannoveru nebo Brém, </w:t>
      </w:r>
      <w:r w:rsidR="003F282D">
        <w:t xml:space="preserve">ale také z menších obcí, do kterých německá vláda </w:t>
      </w:r>
      <w:r w:rsidR="00153D3B">
        <w:t xml:space="preserve">běžence </w:t>
      </w:r>
      <w:r w:rsidR="003F282D">
        <w:t xml:space="preserve">rozděluje. </w:t>
      </w:r>
      <w:r w:rsidR="00153D3B" w:rsidRPr="009A2A06">
        <w:rPr>
          <w:i/>
        </w:rPr>
        <w:t>„Německé spolkové země či města si modulové stavby buď kupují, nebo pronajímají. Pronájem bývá obvykle na 5 let s možností prodloužení. Poptávané jsou většinou ubytovny hotelového typu, kde jsou obytné místnosti seskupené do sekcí a mají společné sociální zázemí a</w:t>
      </w:r>
      <w:r w:rsidR="009C3AAF">
        <w:rPr>
          <w:i/>
        </w:rPr>
        <w:t> </w:t>
      </w:r>
      <w:r w:rsidR="00153D3B" w:rsidRPr="009A2A06">
        <w:rPr>
          <w:i/>
        </w:rPr>
        <w:t xml:space="preserve">kuchyňky. </w:t>
      </w:r>
      <w:r w:rsidR="00153D3B">
        <w:rPr>
          <w:i/>
        </w:rPr>
        <w:t xml:space="preserve">Žádané </w:t>
      </w:r>
      <w:r w:rsidR="00153D3B" w:rsidRPr="009A2A06">
        <w:rPr>
          <w:i/>
        </w:rPr>
        <w:t>jsou ale i</w:t>
      </w:r>
      <w:r w:rsidR="00227F55">
        <w:rPr>
          <w:i/>
        </w:rPr>
        <w:t> </w:t>
      </w:r>
      <w:r w:rsidR="00153D3B" w:rsidRPr="009A2A06">
        <w:rPr>
          <w:i/>
        </w:rPr>
        <w:t xml:space="preserve">bytové domy s plnohodnotnými bytovými jednotkami. Právě takovou </w:t>
      </w:r>
      <w:r w:rsidR="00153D3B">
        <w:rPr>
          <w:i/>
        </w:rPr>
        <w:t xml:space="preserve">velkou </w:t>
      </w:r>
      <w:r w:rsidR="00153D3B" w:rsidRPr="009A2A06">
        <w:rPr>
          <w:i/>
        </w:rPr>
        <w:t xml:space="preserve">zakázku </w:t>
      </w:r>
      <w:r w:rsidR="00887E8E">
        <w:rPr>
          <w:i/>
        </w:rPr>
        <w:t>jsme dokončili</w:t>
      </w:r>
      <w:r w:rsidR="00887E8E" w:rsidRPr="009A2A06">
        <w:rPr>
          <w:i/>
        </w:rPr>
        <w:t xml:space="preserve"> </w:t>
      </w:r>
      <w:r w:rsidR="00153D3B" w:rsidRPr="009A2A06">
        <w:rPr>
          <w:i/>
        </w:rPr>
        <w:t xml:space="preserve">v Hamburku,“ </w:t>
      </w:r>
      <w:r w:rsidR="00153D3B">
        <w:t>dodává Jan Petr.</w:t>
      </w:r>
    </w:p>
    <w:p w14:paraId="0129473D" w14:textId="01E46168" w:rsidR="007B3508" w:rsidRDefault="007B3508" w:rsidP="009A2A06">
      <w:pPr>
        <w:spacing w:after="200" w:line="360" w:lineRule="auto"/>
        <w:jc w:val="right"/>
        <w:rPr>
          <w:i/>
          <w:sz w:val="18"/>
          <w:szCs w:val="18"/>
        </w:rPr>
      </w:pPr>
      <w:r w:rsidRPr="009A2A06">
        <w:rPr>
          <w:i/>
          <w:sz w:val="18"/>
          <w:szCs w:val="18"/>
        </w:rPr>
        <w:t>Výrobní závod Touax v</w:t>
      </w:r>
      <w:r w:rsidR="00916D5F">
        <w:rPr>
          <w:i/>
          <w:sz w:val="18"/>
          <w:szCs w:val="18"/>
        </w:rPr>
        <w:t> </w:t>
      </w:r>
      <w:r w:rsidRPr="009A2A06">
        <w:rPr>
          <w:i/>
          <w:sz w:val="18"/>
          <w:szCs w:val="18"/>
        </w:rPr>
        <w:t>Supíkovicích</w:t>
      </w:r>
    </w:p>
    <w:p w14:paraId="492C84F0" w14:textId="6E24B538" w:rsidR="00916D5F" w:rsidRDefault="0039786B" w:rsidP="00C81992">
      <w:pPr>
        <w:spacing w:after="200" w:line="360" w:lineRule="auto"/>
        <w:jc w:val="both"/>
        <w:rPr>
          <w:b/>
        </w:rPr>
      </w:pPr>
      <w:r>
        <w:rPr>
          <w:b/>
        </w:rPr>
        <w:t xml:space="preserve">Přístřeší pro běžence </w:t>
      </w:r>
      <w:r w:rsidR="00916D5F">
        <w:rPr>
          <w:b/>
        </w:rPr>
        <w:t xml:space="preserve">– </w:t>
      </w:r>
      <w:r>
        <w:rPr>
          <w:b/>
        </w:rPr>
        <w:t>v </w:t>
      </w:r>
      <w:r w:rsidR="00916D5F">
        <w:rPr>
          <w:b/>
        </w:rPr>
        <w:t>ubytovn</w:t>
      </w:r>
      <w:r>
        <w:rPr>
          <w:b/>
        </w:rPr>
        <w:t xml:space="preserve">ách </w:t>
      </w:r>
      <w:r w:rsidR="00916D5F">
        <w:rPr>
          <w:b/>
        </w:rPr>
        <w:t xml:space="preserve">i </w:t>
      </w:r>
      <w:r w:rsidR="00096519">
        <w:rPr>
          <w:b/>
        </w:rPr>
        <w:t>bytov</w:t>
      </w:r>
      <w:r>
        <w:rPr>
          <w:b/>
        </w:rPr>
        <w:t>ých</w:t>
      </w:r>
      <w:r w:rsidR="00096519">
        <w:rPr>
          <w:b/>
        </w:rPr>
        <w:t xml:space="preserve"> dom</w:t>
      </w:r>
      <w:r>
        <w:rPr>
          <w:b/>
        </w:rPr>
        <w:t>ech</w:t>
      </w:r>
      <w:r w:rsidR="00916D5F" w:rsidRPr="00C54B4C">
        <w:rPr>
          <w:b/>
        </w:rPr>
        <w:t xml:space="preserve"> </w:t>
      </w:r>
      <w:r w:rsidR="007B3508" w:rsidRPr="007B350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E72D014" wp14:editId="448C7FE4">
            <wp:simplePos x="0" y="0"/>
            <wp:positionH relativeFrom="column">
              <wp:posOffset>5227320</wp:posOffset>
            </wp:positionH>
            <wp:positionV relativeFrom="paragraph">
              <wp:posOffset>879475</wp:posOffset>
            </wp:positionV>
            <wp:extent cx="1605280" cy="1205865"/>
            <wp:effectExtent l="0" t="0" r="0" b="0"/>
            <wp:wrapTight wrapText="bothSides">
              <wp:wrapPolygon edited="0">
                <wp:start x="0" y="0"/>
                <wp:lineTo x="0" y="21156"/>
                <wp:lineTo x="21275" y="21156"/>
                <wp:lineTo x="21275" y="0"/>
                <wp:lineTo x="0" y="0"/>
              </wp:wrapPolygon>
            </wp:wrapTight>
            <wp:docPr id="16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4D92E" w14:textId="3EE903D4" w:rsidR="007B3508" w:rsidRDefault="00916D5F" w:rsidP="00C81992">
      <w:pPr>
        <w:spacing w:after="200" w:line="360" w:lineRule="auto"/>
        <w:jc w:val="both"/>
      </w:pPr>
      <w:r w:rsidRPr="007B3508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080B2BB" wp14:editId="27A4F9EC">
            <wp:simplePos x="0" y="0"/>
            <wp:positionH relativeFrom="column">
              <wp:posOffset>635</wp:posOffset>
            </wp:positionH>
            <wp:positionV relativeFrom="paragraph">
              <wp:posOffset>27305</wp:posOffset>
            </wp:positionV>
            <wp:extent cx="1482725" cy="1111885"/>
            <wp:effectExtent l="0" t="0" r="3175" b="0"/>
            <wp:wrapTight wrapText="bothSides">
              <wp:wrapPolygon edited="0">
                <wp:start x="0" y="0"/>
                <wp:lineTo x="0" y="21094"/>
                <wp:lineTo x="21369" y="21094"/>
                <wp:lineTo x="21369" y="0"/>
                <wp:lineTo x="0" y="0"/>
              </wp:wrapPolygon>
            </wp:wrapTight>
            <wp:docPr id="1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D3B">
        <w:t>V severoněmeckém Hamburku s</w:t>
      </w:r>
      <w:r w:rsidR="00790F89">
        <w:t xml:space="preserve">polečnost Touax </w:t>
      </w:r>
      <w:r w:rsidR="00096519">
        <w:t>postavila</w:t>
      </w:r>
      <w:r w:rsidR="00153D3B">
        <w:t xml:space="preserve"> k</w:t>
      </w:r>
      <w:r w:rsidR="006457DF">
        <w:t xml:space="preserve">omplex </w:t>
      </w:r>
      <w:r w:rsidR="00B87C1B">
        <w:t>devíti</w:t>
      </w:r>
      <w:r w:rsidR="00153D3B">
        <w:t xml:space="preserve"> </w:t>
      </w:r>
      <w:r w:rsidR="006457DF">
        <w:t>budov</w:t>
      </w:r>
      <w:r w:rsidR="00153D3B">
        <w:t>, jenž</w:t>
      </w:r>
      <w:r w:rsidR="006457DF">
        <w:t xml:space="preserve"> </w:t>
      </w:r>
      <w:r w:rsidR="00790F89">
        <w:t xml:space="preserve">se skládá ze 147 modulů a </w:t>
      </w:r>
      <w:r w:rsidR="00227F55">
        <w:t xml:space="preserve">poskytne </w:t>
      </w:r>
      <w:r w:rsidR="00A65477">
        <w:t xml:space="preserve">uprchlíkům </w:t>
      </w:r>
      <w:r w:rsidR="00153D3B">
        <w:t>v </w:t>
      </w:r>
      <w:r w:rsidR="00096519">
        <w:t>osmi</w:t>
      </w:r>
      <w:r w:rsidR="00153D3B">
        <w:t xml:space="preserve"> </w:t>
      </w:r>
      <w:r w:rsidR="00B87C1B">
        <w:t xml:space="preserve">dvoupatrových bytových </w:t>
      </w:r>
      <w:r w:rsidR="00153D3B">
        <w:t xml:space="preserve">domech celkem </w:t>
      </w:r>
      <w:r w:rsidR="00B87C1B">
        <w:t>30</w:t>
      </w:r>
      <w:r w:rsidR="007B3508">
        <w:t> </w:t>
      </w:r>
      <w:r w:rsidR="00153D3B">
        <w:t xml:space="preserve">standardních </w:t>
      </w:r>
      <w:r w:rsidR="00A65477">
        <w:t xml:space="preserve">bytů </w:t>
      </w:r>
      <w:r w:rsidR="00153D3B">
        <w:t xml:space="preserve">v dispozicích 3+1 a 4+1 </w:t>
      </w:r>
      <w:r w:rsidR="00B2470E">
        <w:t>o výměře 7</w:t>
      </w:r>
      <w:r w:rsidR="00096519">
        <w:t>0 –</w:t>
      </w:r>
      <w:r w:rsidR="00B2470E">
        <w:t xml:space="preserve"> 9</w:t>
      </w:r>
      <w:r w:rsidR="00096519">
        <w:t>0 m</w:t>
      </w:r>
      <w:r w:rsidR="00096519" w:rsidRPr="00190C66">
        <w:rPr>
          <w:vertAlign w:val="superscript"/>
        </w:rPr>
        <w:t>2</w:t>
      </w:r>
      <w:r w:rsidR="0039786B">
        <w:t>.</w:t>
      </w:r>
      <w:r w:rsidR="00B87C1B">
        <w:t xml:space="preserve"> </w:t>
      </w:r>
      <w:r w:rsidR="0039786B">
        <w:t>V</w:t>
      </w:r>
      <w:r w:rsidR="00736A85">
        <w:t> </w:t>
      </w:r>
      <w:r w:rsidR="0039786B">
        <w:t>jedn</w:t>
      </w:r>
      <w:r w:rsidR="00736A85">
        <w:t xml:space="preserve">é z budov </w:t>
      </w:r>
      <w:r w:rsidR="0039786B">
        <w:t xml:space="preserve">je umístěn i byt a kancelář správce s potřebným zázemím pro úklid a skladovými prostory. </w:t>
      </w:r>
      <w:r w:rsidR="00736A85">
        <w:t xml:space="preserve">Devátý, přízemní dům bude sloužit jako </w:t>
      </w:r>
      <w:r w:rsidR="00B87C1B">
        <w:t>prádeln</w:t>
      </w:r>
      <w:r w:rsidR="00736A85">
        <w:t>a</w:t>
      </w:r>
      <w:r w:rsidR="00B87C1B">
        <w:t>, sušárn</w:t>
      </w:r>
      <w:r w:rsidR="00736A85">
        <w:t>a</w:t>
      </w:r>
      <w:r w:rsidR="00B87C1B">
        <w:t xml:space="preserve"> a sklad</w:t>
      </w:r>
      <w:r w:rsidR="00096519">
        <w:t>.</w:t>
      </w:r>
      <w:r w:rsidR="00153D3B">
        <w:t xml:space="preserve"> </w:t>
      </w:r>
      <w:r w:rsidR="00790F89">
        <w:t xml:space="preserve">Celková </w:t>
      </w:r>
      <w:r w:rsidR="00B2013D">
        <w:t xml:space="preserve">hrubá </w:t>
      </w:r>
      <w:r w:rsidR="00790F89">
        <w:t>podlahová plocha</w:t>
      </w:r>
      <w:r w:rsidR="00E84144">
        <w:t xml:space="preserve"> </w:t>
      </w:r>
      <w:r w:rsidR="00B2470E">
        <w:t xml:space="preserve">komplexu </w:t>
      </w:r>
      <w:r w:rsidR="00B2013D">
        <w:t xml:space="preserve">činí </w:t>
      </w:r>
      <w:r w:rsidR="00790F89">
        <w:t>2</w:t>
      </w:r>
      <w:r w:rsidR="00B2013D">
        <w:t xml:space="preserve"> </w:t>
      </w:r>
      <w:r w:rsidR="00B2470E">
        <w:t>640</w:t>
      </w:r>
      <w:r w:rsidR="00790F89">
        <w:t xml:space="preserve"> m</w:t>
      </w:r>
      <w:r w:rsidR="00790F89" w:rsidRPr="00790F89">
        <w:rPr>
          <w:vertAlign w:val="superscript"/>
        </w:rPr>
        <w:t>2</w:t>
      </w:r>
      <w:r w:rsidR="00790F89">
        <w:t xml:space="preserve">. </w:t>
      </w:r>
      <w:r w:rsidR="00235C8E">
        <w:t>Domy jsou uspořádané do d</w:t>
      </w:r>
      <w:r w:rsidR="002F45DF">
        <w:t>vojic, z venkovního pohledu jim dominuje červenohnědá barva fasády, sedlové střechy a bílé pozinkované schodiště. P</w:t>
      </w:r>
      <w:r w:rsidR="00E84144">
        <w:t xml:space="preserve">ro vnitřní provedení </w:t>
      </w:r>
      <w:r w:rsidR="00EF0254">
        <w:t xml:space="preserve">stěn </w:t>
      </w:r>
      <w:r w:rsidR="002F45DF">
        <w:t>byl</w:t>
      </w:r>
      <w:r w:rsidR="00EF0254">
        <w:t>a</w:t>
      </w:r>
      <w:r w:rsidR="002F45DF">
        <w:t xml:space="preserve"> zvolen</w:t>
      </w:r>
      <w:r w:rsidR="00EF0254">
        <w:t>a</w:t>
      </w:r>
      <w:r w:rsidR="002F45DF">
        <w:t xml:space="preserve"> </w:t>
      </w:r>
      <w:r w:rsidR="00EF0254">
        <w:t>kombinace laminovan</w:t>
      </w:r>
      <w:r w:rsidR="00736A85">
        <w:t>é</w:t>
      </w:r>
      <w:r w:rsidR="00EF0254">
        <w:t xml:space="preserve"> dřevotřísk</w:t>
      </w:r>
      <w:r w:rsidR="00736A85">
        <w:t>y</w:t>
      </w:r>
      <w:r w:rsidR="00EF0254">
        <w:t xml:space="preserve"> a </w:t>
      </w:r>
      <w:r w:rsidR="00E84144">
        <w:t>sádrokarton</w:t>
      </w:r>
      <w:r w:rsidR="002F45DF">
        <w:t>ové stěny</w:t>
      </w:r>
      <w:r w:rsidR="00E84144">
        <w:t xml:space="preserve"> s tapetou,</w:t>
      </w:r>
      <w:r w:rsidR="00EF0254">
        <w:t xml:space="preserve"> v koupelně a kuchyni </w:t>
      </w:r>
      <w:r w:rsidR="00736A85">
        <w:t xml:space="preserve">pak </w:t>
      </w:r>
      <w:r w:rsidR="00EF0254">
        <w:t xml:space="preserve">keramický obklad. S výjimkou koupelny, kde je položena dlažba, byla použita ve všech místnostech </w:t>
      </w:r>
      <w:r w:rsidR="00B2470E">
        <w:t xml:space="preserve">PVC </w:t>
      </w:r>
      <w:r w:rsidR="00E84144">
        <w:t>podlahov</w:t>
      </w:r>
      <w:r w:rsidR="002F45DF">
        <w:t xml:space="preserve">á </w:t>
      </w:r>
      <w:r w:rsidR="00E84144">
        <w:t>krytin</w:t>
      </w:r>
      <w:r w:rsidR="002F45DF">
        <w:t>a</w:t>
      </w:r>
      <w:r w:rsidR="00736A85">
        <w:t>.</w:t>
      </w:r>
      <w:r w:rsidR="00EF0254">
        <w:t xml:space="preserve"> Vytápění je řešené</w:t>
      </w:r>
      <w:r w:rsidR="002F45DF">
        <w:t xml:space="preserve"> teplovodní</w:t>
      </w:r>
      <w:r w:rsidR="00EF0254">
        <w:t>m</w:t>
      </w:r>
      <w:r w:rsidR="002F45DF">
        <w:t xml:space="preserve"> topení</w:t>
      </w:r>
      <w:r w:rsidR="00EF0254">
        <w:t>m</w:t>
      </w:r>
      <w:r w:rsidR="002F45DF">
        <w:t xml:space="preserve"> s napojením na plynový kotel.</w:t>
      </w:r>
      <w:r w:rsidR="00E84144">
        <w:t xml:space="preserve"> </w:t>
      </w:r>
      <w:r w:rsidR="00EF0254">
        <w:t xml:space="preserve">Bytové jednotky jsou vybaveny připojením na </w:t>
      </w:r>
      <w:r w:rsidR="00736A85">
        <w:t>televizi</w:t>
      </w:r>
      <w:r w:rsidR="00EF0254">
        <w:t xml:space="preserve">, satelit a internet. </w:t>
      </w:r>
      <w:r w:rsidR="00B87C1B">
        <w:t xml:space="preserve">Sestavení </w:t>
      </w:r>
      <w:r w:rsidR="00736A85">
        <w:t xml:space="preserve">devíti </w:t>
      </w:r>
      <w:r w:rsidR="00EF0254">
        <w:t>budov trvalo 12 dnů</w:t>
      </w:r>
      <w:r w:rsidR="00E84144">
        <w:t>, kompletní realizace pak pouhých 6 týdnů.</w:t>
      </w:r>
      <w:r w:rsidR="00C54B4C">
        <w:t xml:space="preserve"> </w:t>
      </w:r>
    </w:p>
    <w:p w14:paraId="77A61C51" w14:textId="0C44C18C" w:rsidR="005637AB" w:rsidRDefault="005637AB" w:rsidP="00C81992">
      <w:pPr>
        <w:spacing w:after="200" w:line="360" w:lineRule="auto"/>
        <w:jc w:val="both"/>
      </w:pPr>
    </w:p>
    <w:p w14:paraId="62F8BE5A" w14:textId="3A994EBB" w:rsidR="00C54B4C" w:rsidRPr="00C54B4C" w:rsidRDefault="00C54B4C" w:rsidP="00C81992">
      <w:pPr>
        <w:spacing w:after="200" w:line="360" w:lineRule="auto"/>
        <w:jc w:val="both"/>
        <w:rPr>
          <w:b/>
        </w:rPr>
      </w:pPr>
      <w:r w:rsidRPr="00C54B4C">
        <w:rPr>
          <w:b/>
        </w:rPr>
        <w:lastRenderedPageBreak/>
        <w:t xml:space="preserve">Německá města se o dodavatele </w:t>
      </w:r>
      <w:r w:rsidR="00B41F28">
        <w:rPr>
          <w:b/>
        </w:rPr>
        <w:t xml:space="preserve">modulů </w:t>
      </w:r>
      <w:r w:rsidRPr="00C54B4C">
        <w:rPr>
          <w:b/>
        </w:rPr>
        <w:t xml:space="preserve">přetahují </w:t>
      </w:r>
    </w:p>
    <w:p w14:paraId="0E4ECE51" w14:textId="23B1A441" w:rsidR="00790F89" w:rsidRDefault="002F45DF" w:rsidP="00C81992">
      <w:pPr>
        <w:spacing w:after="200" w:line="360" w:lineRule="auto"/>
        <w:jc w:val="both"/>
      </w:pPr>
      <w:r>
        <w:t>„</w:t>
      </w:r>
      <w:r w:rsidR="001F0926">
        <w:rPr>
          <w:i/>
        </w:rPr>
        <w:t>Méně komfortní</w:t>
      </w:r>
      <w:r w:rsidR="001F0926" w:rsidRPr="00B41F28">
        <w:rPr>
          <w:i/>
        </w:rPr>
        <w:t xml:space="preserve"> </w:t>
      </w:r>
      <w:r w:rsidRPr="00B41F28">
        <w:rPr>
          <w:i/>
        </w:rPr>
        <w:t>variantou jsou ubytovny hotelového typu, k</w:t>
      </w:r>
      <w:r>
        <w:rPr>
          <w:i/>
        </w:rPr>
        <w:t xml:space="preserve">de k několika </w:t>
      </w:r>
      <w:r w:rsidRPr="00B41F28">
        <w:rPr>
          <w:i/>
        </w:rPr>
        <w:t>obytn</w:t>
      </w:r>
      <w:r>
        <w:rPr>
          <w:i/>
        </w:rPr>
        <w:t xml:space="preserve">ým </w:t>
      </w:r>
      <w:r w:rsidRPr="00B41F28">
        <w:rPr>
          <w:i/>
        </w:rPr>
        <w:t>místnost</w:t>
      </w:r>
      <w:r>
        <w:rPr>
          <w:i/>
        </w:rPr>
        <w:t xml:space="preserve">em náleží společné </w:t>
      </w:r>
      <w:r w:rsidRPr="00B41F28">
        <w:rPr>
          <w:i/>
        </w:rPr>
        <w:t>sociální zázemí</w:t>
      </w:r>
      <w:r w:rsidR="001F0926">
        <w:rPr>
          <w:i/>
        </w:rPr>
        <w:t>,</w:t>
      </w:r>
      <w:r w:rsidR="00736A85">
        <w:rPr>
          <w:i/>
        </w:rPr>
        <w:t xml:space="preserve"> </w:t>
      </w:r>
      <w:r w:rsidRPr="00B41F28">
        <w:rPr>
          <w:i/>
        </w:rPr>
        <w:t>kuchy</w:t>
      </w:r>
      <w:r>
        <w:rPr>
          <w:i/>
        </w:rPr>
        <w:t>ňka</w:t>
      </w:r>
      <w:r w:rsidR="001F0926">
        <w:rPr>
          <w:i/>
        </w:rPr>
        <w:t>, prádelna a sušárna a obvykle i společenská místnost</w:t>
      </w:r>
      <w:r w:rsidRPr="00B41F28">
        <w:rPr>
          <w:i/>
        </w:rPr>
        <w:t xml:space="preserve">. </w:t>
      </w:r>
      <w:r>
        <w:rPr>
          <w:i/>
        </w:rPr>
        <w:t>Moduly pro t</w:t>
      </w:r>
      <w:r w:rsidRPr="00B41F28">
        <w:rPr>
          <w:i/>
        </w:rPr>
        <w:t xml:space="preserve">akovou stavbu </w:t>
      </w:r>
      <w:r>
        <w:rPr>
          <w:i/>
        </w:rPr>
        <w:t>jsme v létě dodávali</w:t>
      </w:r>
      <w:r w:rsidRPr="00B41F28">
        <w:rPr>
          <w:i/>
        </w:rPr>
        <w:t xml:space="preserve"> do </w:t>
      </w:r>
      <w:r>
        <w:rPr>
          <w:i/>
        </w:rPr>
        <w:t xml:space="preserve">Leverkusenu, </w:t>
      </w:r>
      <w:r w:rsidR="001F0926">
        <w:rPr>
          <w:i/>
        </w:rPr>
        <w:t>do konce roku realizujeme ještě projekty</w:t>
      </w:r>
      <w:r>
        <w:rPr>
          <w:i/>
        </w:rPr>
        <w:t xml:space="preserve"> pro Mnichov, Sulzbach či San</w:t>
      </w:r>
      <w:r w:rsidR="00235C8E">
        <w:rPr>
          <w:i/>
        </w:rPr>
        <w:t>k</w:t>
      </w:r>
      <w:r>
        <w:rPr>
          <w:i/>
        </w:rPr>
        <w:t xml:space="preserve">t Augustin,“ </w:t>
      </w:r>
      <w:r w:rsidRPr="00190C66">
        <w:t>uvádí</w:t>
      </w:r>
      <w:r>
        <w:rPr>
          <w:i/>
        </w:rPr>
        <w:t xml:space="preserve"> </w:t>
      </w:r>
      <w:r>
        <w:t>Jan Petr.</w:t>
      </w:r>
      <w:r w:rsidR="00D66375">
        <w:t xml:space="preserve"> </w:t>
      </w:r>
      <w:r w:rsidR="007B3508">
        <w:t>První z nich bude do</w:t>
      </w:r>
      <w:r w:rsidR="00C24666">
        <w:t>končen</w:t>
      </w:r>
      <w:r w:rsidR="001539C1">
        <w:t xml:space="preserve"> </w:t>
      </w:r>
      <w:r w:rsidR="007B3508">
        <w:t>v říjnu v Sulzbachu, kde</w:t>
      </w:r>
      <w:r w:rsidR="00227F55">
        <w:t> </w:t>
      </w:r>
      <w:r w:rsidR="007B3508">
        <w:t>v</w:t>
      </w:r>
      <w:r w:rsidR="00C24666">
        <w:t xml:space="preserve">e </w:t>
      </w:r>
      <w:r w:rsidR="00736A85">
        <w:t xml:space="preserve">dvou </w:t>
      </w:r>
      <w:r w:rsidR="00C24666">
        <w:t>objektech o hrubé ploše 1</w:t>
      </w:r>
      <w:r w:rsidR="00736A85">
        <w:t xml:space="preserve"> </w:t>
      </w:r>
      <w:r w:rsidR="00C24666">
        <w:t>450 m</w:t>
      </w:r>
      <w:r w:rsidR="00C24666" w:rsidRPr="00190C66">
        <w:rPr>
          <w:vertAlign w:val="superscript"/>
        </w:rPr>
        <w:t>2</w:t>
      </w:r>
      <w:r w:rsidR="007B3508">
        <w:t xml:space="preserve"> vznik</w:t>
      </w:r>
      <w:r w:rsidR="00235C8E">
        <w:t>n</w:t>
      </w:r>
      <w:r w:rsidR="007B3508">
        <w:t>e ubyto</w:t>
      </w:r>
      <w:r w:rsidR="00C24666">
        <w:t>vací kapacita</w:t>
      </w:r>
      <w:r w:rsidR="007B3508">
        <w:t xml:space="preserve"> pro cca 80 osob. </w:t>
      </w:r>
      <w:r w:rsidR="00C24666">
        <w:t xml:space="preserve">Další </w:t>
      </w:r>
      <w:r w:rsidR="00736A85">
        <w:t xml:space="preserve">dvě </w:t>
      </w:r>
      <w:r w:rsidR="00C24666">
        <w:t>ubytovny</w:t>
      </w:r>
      <w:r w:rsidR="007B3508">
        <w:t xml:space="preserve"> pro zhruba </w:t>
      </w:r>
      <w:r w:rsidR="00C24666">
        <w:t>8</w:t>
      </w:r>
      <w:r w:rsidR="007B3508">
        <w:t>0 osob vyrost</w:t>
      </w:r>
      <w:r w:rsidR="00C24666">
        <w:t>ou</w:t>
      </w:r>
      <w:r w:rsidR="007B3508">
        <w:t xml:space="preserve"> v městě Sankt Augustin do konce letošního roku. Velký projekt s ubytovací kapacitou až </w:t>
      </w:r>
      <w:r w:rsidR="00C24666">
        <w:t xml:space="preserve">pro </w:t>
      </w:r>
      <w:r w:rsidR="007B3508">
        <w:t xml:space="preserve">200 osob společnost Touax postaví v Mnichově. Třípatrová budova </w:t>
      </w:r>
      <w:r w:rsidR="00C24666">
        <w:t>bude mít hrubou plochu</w:t>
      </w:r>
      <w:r w:rsidR="007B3508">
        <w:t xml:space="preserve"> téměř 4 000 m</w:t>
      </w:r>
      <w:r w:rsidR="007B3508" w:rsidRPr="009A2A06">
        <w:rPr>
          <w:vertAlign w:val="superscript"/>
        </w:rPr>
        <w:t>2</w:t>
      </w:r>
      <w:r w:rsidR="007B3508">
        <w:t>. První část bude dokončena během prosince, dr</w:t>
      </w:r>
      <w:r w:rsidR="00235C8E">
        <w:t>u</w:t>
      </w:r>
      <w:r w:rsidR="007B3508">
        <w:t xml:space="preserve">há pak </w:t>
      </w:r>
      <w:r w:rsidR="00C24666">
        <w:t>během února</w:t>
      </w:r>
      <w:r w:rsidR="007B3508">
        <w:t xml:space="preserve">. </w:t>
      </w:r>
    </w:p>
    <w:p w14:paraId="746DE688" w14:textId="556F399B" w:rsidR="009A2A06" w:rsidRPr="00C54B4C" w:rsidRDefault="009A2A06" w:rsidP="009A2A06">
      <w:pPr>
        <w:spacing w:after="200" w:line="360" w:lineRule="auto"/>
        <w:jc w:val="both"/>
        <w:rPr>
          <w:b/>
        </w:rPr>
      </w:pPr>
      <w:r>
        <w:rPr>
          <w:b/>
        </w:rPr>
        <w:t>Česko má ve využívání modulových staveb rezervy</w:t>
      </w:r>
    </w:p>
    <w:p w14:paraId="3773A1DE" w14:textId="14165BBA" w:rsidR="00BF1ED8" w:rsidRDefault="00916D5F" w:rsidP="00D66375">
      <w:pPr>
        <w:spacing w:after="200" w:line="360" w:lineRule="auto"/>
        <w:jc w:val="both"/>
      </w:pPr>
      <w:r w:rsidRPr="00916D5F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470B9CE" wp14:editId="6E2C581F">
            <wp:simplePos x="0" y="0"/>
            <wp:positionH relativeFrom="margin">
              <wp:align>right</wp:align>
            </wp:positionH>
            <wp:positionV relativeFrom="paragraph">
              <wp:posOffset>894715</wp:posOffset>
            </wp:positionV>
            <wp:extent cx="1502410" cy="847725"/>
            <wp:effectExtent l="0" t="0" r="2540" b="9525"/>
            <wp:wrapTight wrapText="bothSides">
              <wp:wrapPolygon edited="0">
                <wp:start x="0" y="0"/>
                <wp:lineTo x="0" y="21357"/>
                <wp:lineTo x="21363" y="21357"/>
                <wp:lineTo x="21363" y="0"/>
                <wp:lineTo x="0" y="0"/>
              </wp:wrapPolygon>
            </wp:wrapTight>
            <wp:docPr id="31" name="Obrázek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ázek 3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477">
        <w:t xml:space="preserve">Státní </w:t>
      </w:r>
      <w:r>
        <w:t xml:space="preserve">a veřejná </w:t>
      </w:r>
      <w:r w:rsidR="00A65477">
        <w:t xml:space="preserve">správa </w:t>
      </w:r>
      <w:r>
        <w:t xml:space="preserve">v </w:t>
      </w:r>
      <w:r w:rsidR="00A65477">
        <w:t>České republi</w:t>
      </w:r>
      <w:r>
        <w:t>ce</w:t>
      </w:r>
      <w:r w:rsidR="00A65477">
        <w:t xml:space="preserve"> výhody modulové technologie </w:t>
      </w:r>
      <w:r w:rsidR="0093662B">
        <w:t>zatím</w:t>
      </w:r>
      <w:r w:rsidR="00A65477">
        <w:t xml:space="preserve"> </w:t>
      </w:r>
      <w:r>
        <w:t xml:space="preserve">plně </w:t>
      </w:r>
      <w:r w:rsidR="00A65477">
        <w:t xml:space="preserve">nedoceňuje, a to nejen v případě </w:t>
      </w:r>
      <w:r w:rsidR="00C24666">
        <w:t xml:space="preserve">krizového </w:t>
      </w:r>
      <w:r w:rsidR="00A65477">
        <w:t xml:space="preserve">ubytování </w:t>
      </w:r>
      <w:r w:rsidR="00C24666">
        <w:t>(</w:t>
      </w:r>
      <w:r w:rsidR="00A65477">
        <w:t>pro uprchlíky</w:t>
      </w:r>
      <w:r w:rsidR="00C24666">
        <w:t>, pro postižené živeln</w:t>
      </w:r>
      <w:r w:rsidR="005637AB">
        <w:t>í</w:t>
      </w:r>
      <w:r w:rsidR="00C24666">
        <w:t xml:space="preserve">mi katastrofami), ale i běžného </w:t>
      </w:r>
      <w:r w:rsidR="005637AB">
        <w:t xml:space="preserve">bydlení </w:t>
      </w:r>
      <w:r w:rsidR="00C24666">
        <w:t>pro</w:t>
      </w:r>
      <w:r w:rsidR="00A65477">
        <w:t xml:space="preserve"> sociálně slabé, </w:t>
      </w:r>
      <w:r w:rsidR="00C24666">
        <w:t xml:space="preserve">mladé rodiny nebo seniory, nebo </w:t>
      </w:r>
      <w:r w:rsidR="005637AB">
        <w:t xml:space="preserve">při řešení </w:t>
      </w:r>
      <w:r w:rsidR="00C24666">
        <w:t>nedostatečné kapacity školských zařízení</w:t>
      </w:r>
      <w:r w:rsidR="00A65477">
        <w:t xml:space="preserve">. </w:t>
      </w:r>
      <w:r w:rsidR="00A65477">
        <w:rPr>
          <w:i/>
        </w:rPr>
        <w:t>„</w:t>
      </w:r>
      <w:r w:rsidR="00235C8E">
        <w:rPr>
          <w:i/>
        </w:rPr>
        <w:t xml:space="preserve">Ubytovnu v Mladé Boleslavi, která má podobný standard jako německé azylové domy, jsme stavěli pro soukromého investora. Ještě před dokončením byla plně obsazená. </w:t>
      </w:r>
      <w:r>
        <w:rPr>
          <w:i/>
        </w:rPr>
        <w:t xml:space="preserve">Modulové stavby přitom </w:t>
      </w:r>
      <w:r w:rsidR="00235C8E">
        <w:rPr>
          <w:i/>
        </w:rPr>
        <w:t xml:space="preserve">státním institucím a veřejné samosprávě </w:t>
      </w:r>
      <w:r>
        <w:rPr>
          <w:i/>
        </w:rPr>
        <w:t>nabízejí značné výhody. Zaj</w:t>
      </w:r>
      <w:r w:rsidR="00235C8E">
        <w:rPr>
          <w:i/>
        </w:rPr>
        <w:t>í</w:t>
      </w:r>
      <w:r>
        <w:rPr>
          <w:i/>
        </w:rPr>
        <w:t xml:space="preserve">mavé pro </w:t>
      </w:r>
      <w:r w:rsidR="00235C8E">
        <w:rPr>
          <w:i/>
        </w:rPr>
        <w:t xml:space="preserve">ně mohou být </w:t>
      </w:r>
      <w:r>
        <w:rPr>
          <w:i/>
        </w:rPr>
        <w:t xml:space="preserve">nízké náklady – až o 35 % nižší než u zděných staveb, velká variabilita, kdy lze v budoucnu snadno měnit velikost </w:t>
      </w:r>
      <w:r w:rsidR="00235C8E">
        <w:rPr>
          <w:i/>
        </w:rPr>
        <w:t>i</w:t>
      </w:r>
      <w:r>
        <w:rPr>
          <w:i/>
        </w:rPr>
        <w:t xml:space="preserve"> umístění, a především rychlost výstavby. Základní či mateřskou školu lze postavit za pouhé dva měsíce </w:t>
      </w:r>
      <w:bookmarkStart w:id="0" w:name="_GoBack"/>
      <w:bookmarkEnd w:id="0"/>
      <w:r>
        <w:rPr>
          <w:i/>
        </w:rPr>
        <w:t xml:space="preserve">prázdnin, jako například školku a školní jídelnu v Lesnici na Šumpersku, kterou teď </w:t>
      </w:r>
      <w:r w:rsidR="00235C8E">
        <w:rPr>
          <w:i/>
        </w:rPr>
        <w:t xml:space="preserve">obec </w:t>
      </w:r>
      <w:r>
        <w:rPr>
          <w:i/>
        </w:rPr>
        <w:t>v září slavnostně otevřel</w:t>
      </w:r>
      <w:r w:rsidR="00235C8E">
        <w:rPr>
          <w:i/>
        </w:rPr>
        <w:t>a</w:t>
      </w:r>
      <w:r w:rsidR="00C24666">
        <w:rPr>
          <w:i/>
        </w:rPr>
        <w:t xml:space="preserve">. Výsledkem </w:t>
      </w:r>
      <w:r w:rsidR="00512D2F">
        <w:rPr>
          <w:i/>
        </w:rPr>
        <w:t xml:space="preserve">nevyužívání výhod modulové technologie </w:t>
      </w:r>
      <w:r w:rsidR="009C3AAF">
        <w:rPr>
          <w:i/>
        </w:rPr>
        <w:t xml:space="preserve">v tuzemsku </w:t>
      </w:r>
      <w:r w:rsidR="00512D2F">
        <w:rPr>
          <w:i/>
        </w:rPr>
        <w:t xml:space="preserve">je pak </w:t>
      </w:r>
      <w:r w:rsidR="00C24666">
        <w:rPr>
          <w:i/>
        </w:rPr>
        <w:t>realita, že české moduly pomáhají efektivně řešit problémy v</w:t>
      </w:r>
      <w:r w:rsidR="00512D2F">
        <w:rPr>
          <w:i/>
        </w:rPr>
        <w:t>l</w:t>
      </w:r>
      <w:r w:rsidR="00C24666">
        <w:rPr>
          <w:i/>
        </w:rPr>
        <w:t xml:space="preserve">ád a samospráv </w:t>
      </w:r>
      <w:r w:rsidR="00512D2F">
        <w:rPr>
          <w:i/>
        </w:rPr>
        <w:t>v jiných zemích E</w:t>
      </w:r>
      <w:r w:rsidR="005637AB">
        <w:rPr>
          <w:i/>
        </w:rPr>
        <w:t>vropské unie</w:t>
      </w:r>
      <w:r w:rsidR="00A65477">
        <w:rPr>
          <w:i/>
        </w:rPr>
        <w:t>,“</w:t>
      </w:r>
      <w:r w:rsidR="00A65477" w:rsidRPr="00A65477">
        <w:t xml:space="preserve"> </w:t>
      </w:r>
      <w:r>
        <w:t xml:space="preserve">doplňuje </w:t>
      </w:r>
      <w:r w:rsidR="00A65477" w:rsidRPr="00A65477">
        <w:t>Jan Petr</w:t>
      </w:r>
      <w:r w:rsidR="00790F89">
        <w:t>.</w:t>
      </w:r>
    </w:p>
    <w:p w14:paraId="5CB275A5" w14:textId="77777777" w:rsidR="00DE5A79" w:rsidRPr="00763369" w:rsidRDefault="00DE5A79" w:rsidP="00DE5A79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159FD76E" w14:textId="67F7BED1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>Touax</w:t>
      </w:r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>inou společností Divize modulových staveb francouzské skupiny Touax</w:t>
      </w:r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</w:t>
      </w:r>
      <w:r w:rsidR="00EB1371">
        <w:rPr>
          <w:sz w:val="18"/>
          <w:szCs w:val="18"/>
        </w:rPr>
        <w:t>í závod a vývojové oddělení pro </w:t>
      </w:r>
      <w:r>
        <w:rPr>
          <w:sz w:val="18"/>
          <w:szCs w:val="18"/>
        </w:rPr>
        <w:t>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>celé skupiny Touax, zejména z modulových trhů Evropské unie.</w:t>
      </w:r>
    </w:p>
    <w:p w14:paraId="30185B86" w14:textId="448C9575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317BEA60" w14:textId="2F7C12B8" w:rsidR="00D37271" w:rsidRPr="0003266D" w:rsidRDefault="00D37271" w:rsidP="00D37271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r w:rsidRPr="0003266D">
        <w:rPr>
          <w:rFonts w:ascii="Arial" w:hAnsi="Arial" w:cs="Arial"/>
          <w:b/>
          <w:sz w:val="18"/>
          <w:szCs w:val="18"/>
        </w:rPr>
        <w:t>Touax</w:t>
      </w:r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 w:rsidR="00EB1371"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9DB3A07" w14:textId="77777777" w:rsidR="00D37271" w:rsidRPr="005315B1" w:rsidRDefault="00D37271" w:rsidP="00D37271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>Společnost Touax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>kótovaná na pařížské burze NYSE EURONEXT – Euronext Paris Compartment C (kód ISIN FR0000033003) a je součástí indexů CAC® Small a CAC® Mid &amp; Small a SRD Long-only.</w:t>
      </w:r>
    </w:p>
    <w:p w14:paraId="33074B9C" w14:textId="77777777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3BB459AA" w14:textId="4F9616DC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 w:rsidR="00B912CB"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10E0A980" w14:textId="77777777" w:rsidR="00B912CB" w:rsidRPr="00750CDB" w:rsidRDefault="00B912CB" w:rsidP="00DE5A79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r w:rsidRPr="00750CDB">
        <w:rPr>
          <w:b/>
          <w:sz w:val="18"/>
          <w:szCs w:val="18"/>
        </w:rPr>
        <w:t>Touax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Crest Communications a.s.</w:t>
      </w:r>
    </w:p>
    <w:p w14:paraId="15D345B4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  <w:t>Marcela Kukaňová</w:t>
      </w:r>
    </w:p>
    <w:p w14:paraId="6525D8B0" w14:textId="00351EE4" w:rsidR="00B912CB" w:rsidRPr="00763369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 w:rsidR="00B912CB"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 w:rsidRPr="00763369">
        <w:rPr>
          <w:sz w:val="18"/>
          <w:szCs w:val="18"/>
        </w:rPr>
        <w:t>Tel: +420 7</w:t>
      </w:r>
      <w:r w:rsidR="00B912CB">
        <w:rPr>
          <w:sz w:val="18"/>
          <w:szCs w:val="18"/>
        </w:rPr>
        <w:t>31 613</w:t>
      </w:r>
      <w:r w:rsidR="00255180">
        <w:rPr>
          <w:sz w:val="18"/>
          <w:szCs w:val="18"/>
        </w:rPr>
        <w:t> </w:t>
      </w:r>
      <w:r w:rsidR="00B912CB">
        <w:rPr>
          <w:sz w:val="18"/>
          <w:szCs w:val="18"/>
        </w:rPr>
        <w:t>618</w:t>
      </w:r>
    </w:p>
    <w:p w14:paraId="2338B0EA" w14:textId="287596C8" w:rsidR="005223A3" w:rsidRPr="001B7CBE" w:rsidRDefault="00DE5A79" w:rsidP="00255180">
      <w:pPr>
        <w:ind w:firstLine="357"/>
      </w:pPr>
      <w:r w:rsidRPr="00763369">
        <w:rPr>
          <w:sz w:val="18"/>
          <w:szCs w:val="18"/>
        </w:rPr>
        <w:t xml:space="preserve">E-mail: </w:t>
      </w:r>
      <w:hyperlink r:id="rId12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63369">
        <w:rPr>
          <w:sz w:val="18"/>
          <w:szCs w:val="18"/>
        </w:rPr>
        <w:t>E-mail</w:t>
      </w:r>
      <w:r w:rsidR="00B912CB">
        <w:rPr>
          <w:sz w:val="18"/>
          <w:szCs w:val="18"/>
        </w:rPr>
        <w:t xml:space="preserve">: </w:t>
      </w:r>
      <w:hyperlink r:id="rId13" w:history="1">
        <w:r w:rsidR="00750CDB" w:rsidRPr="00E329B7">
          <w:rPr>
            <w:rStyle w:val="Hypertextovodkaz"/>
            <w:sz w:val="18"/>
            <w:szCs w:val="18"/>
          </w:rPr>
          <w:t>marcela.kukanova@crestcom.cz</w:t>
        </w:r>
      </w:hyperlink>
    </w:p>
    <w:sectPr w:rsidR="005223A3" w:rsidRPr="001B7CBE" w:rsidSect="000D67AA">
      <w:headerReference w:type="default" r:id="rId14"/>
      <w:footerReference w:type="default" r:id="rId15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5F47D" w14:textId="77777777" w:rsidR="00816674" w:rsidRDefault="00816674" w:rsidP="00EE3EA8">
      <w:r>
        <w:separator/>
      </w:r>
    </w:p>
  </w:endnote>
  <w:endnote w:type="continuationSeparator" w:id="0">
    <w:p w14:paraId="5C41B63C" w14:textId="77777777" w:rsidR="00816674" w:rsidRDefault="00816674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0A94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 w:rsidRPr="000D67AA">
      <w:rPr>
        <w:noProof/>
        <w:sz w:val="16"/>
        <w:szCs w:val="16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86A9BB" wp14:editId="3F2A64EB">
              <wp:simplePos x="0" y="0"/>
              <wp:positionH relativeFrom="column">
                <wp:posOffset>-2858</wp:posOffset>
              </wp:positionH>
              <wp:positionV relativeFrom="paragraph">
                <wp:posOffset>-92710</wp:posOffset>
              </wp:positionV>
              <wp:extent cx="6840000" cy="0"/>
              <wp:effectExtent l="0" t="0" r="37465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9F684" id="Line 3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AVhpYA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r w:rsidRPr="000D67AA">
      <w:rPr>
        <w:b/>
        <w:color w:val="002065"/>
        <w:sz w:val="16"/>
        <w:szCs w:val="16"/>
      </w:rPr>
      <w:t>Touax s.r.o.</w:t>
    </w:r>
  </w:p>
  <w:p w14:paraId="65A7AD0D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CA6AB07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50FC2D8B" w14:textId="77777777" w:rsidR="00EE3EA8" w:rsidRDefault="00EE3EA8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>- Reg. MS Praha - Obch. rejstřík</w:t>
    </w:r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9F07" w14:textId="77777777" w:rsidR="00816674" w:rsidRDefault="00816674" w:rsidP="00EE3EA8">
      <w:r>
        <w:separator/>
      </w:r>
    </w:p>
  </w:footnote>
  <w:footnote w:type="continuationSeparator" w:id="0">
    <w:p w14:paraId="7D77EB80" w14:textId="77777777" w:rsidR="00816674" w:rsidRDefault="00816674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5ED83" w14:textId="77777777" w:rsidR="00EE3EA8" w:rsidRPr="00DE5A79" w:rsidRDefault="00494DBB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2D223D3D" wp14:editId="15941F6F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5A79">
      <w:tab/>
    </w:r>
    <w:r w:rsidR="00DE5A79">
      <w:tab/>
    </w:r>
    <w:r w:rsidR="00DE5A79"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565B"/>
    <w:multiLevelType w:val="hybridMultilevel"/>
    <w:tmpl w:val="93721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C40C95"/>
    <w:multiLevelType w:val="multilevel"/>
    <w:tmpl w:val="B356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67D8E"/>
    <w:multiLevelType w:val="hybridMultilevel"/>
    <w:tmpl w:val="68DE6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22BB"/>
    <w:multiLevelType w:val="hybridMultilevel"/>
    <w:tmpl w:val="2E96A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13C3"/>
    <w:multiLevelType w:val="multilevel"/>
    <w:tmpl w:val="C742A5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77835"/>
    <w:multiLevelType w:val="hybridMultilevel"/>
    <w:tmpl w:val="A99075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412327"/>
    <w:multiLevelType w:val="hybridMultilevel"/>
    <w:tmpl w:val="8B3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7226C"/>
    <w:multiLevelType w:val="hybridMultilevel"/>
    <w:tmpl w:val="4AFAD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8"/>
  </w:num>
  <w:num w:numId="12">
    <w:abstractNumId w:val="15"/>
  </w:num>
  <w:num w:numId="13">
    <w:abstractNumId w:val="2"/>
  </w:num>
  <w:num w:numId="14">
    <w:abstractNumId w:val="12"/>
  </w:num>
  <w:num w:numId="15">
    <w:abstractNumId w:val="1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252F3"/>
    <w:rsid w:val="000344C0"/>
    <w:rsid w:val="00037EF9"/>
    <w:rsid w:val="0004146F"/>
    <w:rsid w:val="00071741"/>
    <w:rsid w:val="000779D3"/>
    <w:rsid w:val="00090E5E"/>
    <w:rsid w:val="000930E3"/>
    <w:rsid w:val="00096519"/>
    <w:rsid w:val="000A22E1"/>
    <w:rsid w:val="000B2E61"/>
    <w:rsid w:val="000C0E34"/>
    <w:rsid w:val="000C4665"/>
    <w:rsid w:val="000C73AD"/>
    <w:rsid w:val="000C7781"/>
    <w:rsid w:val="000D67AA"/>
    <w:rsid w:val="000F1A29"/>
    <w:rsid w:val="000F68C6"/>
    <w:rsid w:val="000F6B7F"/>
    <w:rsid w:val="00110626"/>
    <w:rsid w:val="001157AB"/>
    <w:rsid w:val="00126CC8"/>
    <w:rsid w:val="001278A0"/>
    <w:rsid w:val="001430C1"/>
    <w:rsid w:val="001443CD"/>
    <w:rsid w:val="001539C1"/>
    <w:rsid w:val="00153D3B"/>
    <w:rsid w:val="00163911"/>
    <w:rsid w:val="001754DD"/>
    <w:rsid w:val="00177267"/>
    <w:rsid w:val="00177CD3"/>
    <w:rsid w:val="00184A8C"/>
    <w:rsid w:val="00185474"/>
    <w:rsid w:val="00190C66"/>
    <w:rsid w:val="00194935"/>
    <w:rsid w:val="001B7CBE"/>
    <w:rsid w:val="001C3B7C"/>
    <w:rsid w:val="001F0926"/>
    <w:rsid w:val="001F2CE5"/>
    <w:rsid w:val="001F6135"/>
    <w:rsid w:val="0020466B"/>
    <w:rsid w:val="0020756D"/>
    <w:rsid w:val="00217F14"/>
    <w:rsid w:val="00224AC8"/>
    <w:rsid w:val="00227F55"/>
    <w:rsid w:val="00235C8E"/>
    <w:rsid w:val="00245F3E"/>
    <w:rsid w:val="00253450"/>
    <w:rsid w:val="00255180"/>
    <w:rsid w:val="002579B4"/>
    <w:rsid w:val="0027140C"/>
    <w:rsid w:val="002958A1"/>
    <w:rsid w:val="002972C1"/>
    <w:rsid w:val="002A1C7D"/>
    <w:rsid w:val="002A2084"/>
    <w:rsid w:val="002A37EC"/>
    <w:rsid w:val="002B5B05"/>
    <w:rsid w:val="002B699C"/>
    <w:rsid w:val="002B6A2E"/>
    <w:rsid w:val="002C346E"/>
    <w:rsid w:val="002D7311"/>
    <w:rsid w:val="002E3A37"/>
    <w:rsid w:val="002E4900"/>
    <w:rsid w:val="002F102F"/>
    <w:rsid w:val="002F1919"/>
    <w:rsid w:val="002F45DF"/>
    <w:rsid w:val="003103B6"/>
    <w:rsid w:val="00314316"/>
    <w:rsid w:val="003270B4"/>
    <w:rsid w:val="00342DAA"/>
    <w:rsid w:val="00343C11"/>
    <w:rsid w:val="003447E5"/>
    <w:rsid w:val="00350735"/>
    <w:rsid w:val="0036361A"/>
    <w:rsid w:val="00384178"/>
    <w:rsid w:val="00384FC6"/>
    <w:rsid w:val="00385B95"/>
    <w:rsid w:val="00386F20"/>
    <w:rsid w:val="003935D1"/>
    <w:rsid w:val="00394479"/>
    <w:rsid w:val="0039786B"/>
    <w:rsid w:val="003A084D"/>
    <w:rsid w:val="003D3DCF"/>
    <w:rsid w:val="003E0852"/>
    <w:rsid w:val="003E48D6"/>
    <w:rsid w:val="003E59E0"/>
    <w:rsid w:val="003E7694"/>
    <w:rsid w:val="003F282D"/>
    <w:rsid w:val="00403B78"/>
    <w:rsid w:val="00410AE3"/>
    <w:rsid w:val="00421A50"/>
    <w:rsid w:val="00427533"/>
    <w:rsid w:val="00435289"/>
    <w:rsid w:val="00436A8C"/>
    <w:rsid w:val="00437ED5"/>
    <w:rsid w:val="004404BD"/>
    <w:rsid w:val="004446E0"/>
    <w:rsid w:val="00446521"/>
    <w:rsid w:val="0044727A"/>
    <w:rsid w:val="004718C1"/>
    <w:rsid w:val="004722BC"/>
    <w:rsid w:val="004804A1"/>
    <w:rsid w:val="004926BB"/>
    <w:rsid w:val="00492DB7"/>
    <w:rsid w:val="0049408E"/>
    <w:rsid w:val="00494DBB"/>
    <w:rsid w:val="004A1E1F"/>
    <w:rsid w:val="004B1B71"/>
    <w:rsid w:val="004B2AF5"/>
    <w:rsid w:val="004B6044"/>
    <w:rsid w:val="004F0861"/>
    <w:rsid w:val="00501A14"/>
    <w:rsid w:val="00512D2F"/>
    <w:rsid w:val="00515971"/>
    <w:rsid w:val="00517065"/>
    <w:rsid w:val="00520E3B"/>
    <w:rsid w:val="005223A3"/>
    <w:rsid w:val="005240EE"/>
    <w:rsid w:val="00532E8E"/>
    <w:rsid w:val="005637AB"/>
    <w:rsid w:val="00567D43"/>
    <w:rsid w:val="005708F6"/>
    <w:rsid w:val="005765CF"/>
    <w:rsid w:val="00597F1B"/>
    <w:rsid w:val="005A137C"/>
    <w:rsid w:val="005A40A5"/>
    <w:rsid w:val="005B7DCC"/>
    <w:rsid w:val="005D0ED6"/>
    <w:rsid w:val="005E35FB"/>
    <w:rsid w:val="005F4A02"/>
    <w:rsid w:val="0060032C"/>
    <w:rsid w:val="0060780B"/>
    <w:rsid w:val="006117BF"/>
    <w:rsid w:val="00620847"/>
    <w:rsid w:val="006237AD"/>
    <w:rsid w:val="006245CC"/>
    <w:rsid w:val="006457DF"/>
    <w:rsid w:val="006518DA"/>
    <w:rsid w:val="00652E13"/>
    <w:rsid w:val="00656CE4"/>
    <w:rsid w:val="0067131B"/>
    <w:rsid w:val="0068718D"/>
    <w:rsid w:val="006A0B12"/>
    <w:rsid w:val="006A1758"/>
    <w:rsid w:val="006B1652"/>
    <w:rsid w:val="006B3F66"/>
    <w:rsid w:val="006B7EC3"/>
    <w:rsid w:val="006C3A87"/>
    <w:rsid w:val="006D31A4"/>
    <w:rsid w:val="006D3926"/>
    <w:rsid w:val="006D406A"/>
    <w:rsid w:val="006E23A8"/>
    <w:rsid w:val="006E31B9"/>
    <w:rsid w:val="006F4A5A"/>
    <w:rsid w:val="006F4E79"/>
    <w:rsid w:val="006F5869"/>
    <w:rsid w:val="006F7EAA"/>
    <w:rsid w:val="00726622"/>
    <w:rsid w:val="00736A85"/>
    <w:rsid w:val="00737DB8"/>
    <w:rsid w:val="00750CDB"/>
    <w:rsid w:val="0076446D"/>
    <w:rsid w:val="00790F89"/>
    <w:rsid w:val="00791582"/>
    <w:rsid w:val="00794104"/>
    <w:rsid w:val="007A20D8"/>
    <w:rsid w:val="007B3508"/>
    <w:rsid w:val="007B5207"/>
    <w:rsid w:val="007B5DB5"/>
    <w:rsid w:val="007C1C7F"/>
    <w:rsid w:val="007E1FDC"/>
    <w:rsid w:val="007F4230"/>
    <w:rsid w:val="007F453D"/>
    <w:rsid w:val="007F6189"/>
    <w:rsid w:val="00801D07"/>
    <w:rsid w:val="00816674"/>
    <w:rsid w:val="0082230A"/>
    <w:rsid w:val="00851DFF"/>
    <w:rsid w:val="00863454"/>
    <w:rsid w:val="00871EF4"/>
    <w:rsid w:val="00873639"/>
    <w:rsid w:val="00883AB4"/>
    <w:rsid w:val="008876F2"/>
    <w:rsid w:val="00887E8E"/>
    <w:rsid w:val="008B508A"/>
    <w:rsid w:val="008C39EB"/>
    <w:rsid w:val="008D120D"/>
    <w:rsid w:val="008E02CB"/>
    <w:rsid w:val="008E2D87"/>
    <w:rsid w:val="008E40C0"/>
    <w:rsid w:val="008F0D42"/>
    <w:rsid w:val="008F13D2"/>
    <w:rsid w:val="00901CAB"/>
    <w:rsid w:val="00914405"/>
    <w:rsid w:val="00915577"/>
    <w:rsid w:val="00916363"/>
    <w:rsid w:val="00916D5F"/>
    <w:rsid w:val="00917BB4"/>
    <w:rsid w:val="00920A55"/>
    <w:rsid w:val="00922265"/>
    <w:rsid w:val="00922884"/>
    <w:rsid w:val="00933033"/>
    <w:rsid w:val="0093662B"/>
    <w:rsid w:val="00940E7A"/>
    <w:rsid w:val="00947429"/>
    <w:rsid w:val="0094745F"/>
    <w:rsid w:val="009479C2"/>
    <w:rsid w:val="00951C72"/>
    <w:rsid w:val="00961800"/>
    <w:rsid w:val="00974B75"/>
    <w:rsid w:val="00974F6C"/>
    <w:rsid w:val="00984281"/>
    <w:rsid w:val="009847B8"/>
    <w:rsid w:val="00990FB9"/>
    <w:rsid w:val="009955AC"/>
    <w:rsid w:val="0099641E"/>
    <w:rsid w:val="009A219F"/>
    <w:rsid w:val="009A2A06"/>
    <w:rsid w:val="009A3036"/>
    <w:rsid w:val="009B6553"/>
    <w:rsid w:val="009C1322"/>
    <w:rsid w:val="009C3AAF"/>
    <w:rsid w:val="009D3597"/>
    <w:rsid w:val="00A055A4"/>
    <w:rsid w:val="00A12061"/>
    <w:rsid w:val="00A136E3"/>
    <w:rsid w:val="00A15911"/>
    <w:rsid w:val="00A30C3C"/>
    <w:rsid w:val="00A3583C"/>
    <w:rsid w:val="00A37441"/>
    <w:rsid w:val="00A41440"/>
    <w:rsid w:val="00A477C7"/>
    <w:rsid w:val="00A61844"/>
    <w:rsid w:val="00A65477"/>
    <w:rsid w:val="00A67626"/>
    <w:rsid w:val="00A70924"/>
    <w:rsid w:val="00A71A67"/>
    <w:rsid w:val="00A7756C"/>
    <w:rsid w:val="00A90DE8"/>
    <w:rsid w:val="00A91502"/>
    <w:rsid w:val="00A9150C"/>
    <w:rsid w:val="00A934E0"/>
    <w:rsid w:val="00A978DD"/>
    <w:rsid w:val="00AB3DCE"/>
    <w:rsid w:val="00AC5CF3"/>
    <w:rsid w:val="00AD7FCF"/>
    <w:rsid w:val="00AE00FD"/>
    <w:rsid w:val="00AE312B"/>
    <w:rsid w:val="00B00FF3"/>
    <w:rsid w:val="00B078FC"/>
    <w:rsid w:val="00B0796D"/>
    <w:rsid w:val="00B07DD1"/>
    <w:rsid w:val="00B104A3"/>
    <w:rsid w:val="00B1575B"/>
    <w:rsid w:val="00B2013D"/>
    <w:rsid w:val="00B2470E"/>
    <w:rsid w:val="00B359F1"/>
    <w:rsid w:val="00B41F28"/>
    <w:rsid w:val="00B44330"/>
    <w:rsid w:val="00B51FF4"/>
    <w:rsid w:val="00B55964"/>
    <w:rsid w:val="00B56BF6"/>
    <w:rsid w:val="00B601D6"/>
    <w:rsid w:val="00B70994"/>
    <w:rsid w:val="00B75763"/>
    <w:rsid w:val="00B87C1B"/>
    <w:rsid w:val="00B912CB"/>
    <w:rsid w:val="00B967B4"/>
    <w:rsid w:val="00BA151B"/>
    <w:rsid w:val="00BA4C34"/>
    <w:rsid w:val="00BB641E"/>
    <w:rsid w:val="00BB72F1"/>
    <w:rsid w:val="00BC0B16"/>
    <w:rsid w:val="00BC2C27"/>
    <w:rsid w:val="00BC40D9"/>
    <w:rsid w:val="00BC4670"/>
    <w:rsid w:val="00BD7018"/>
    <w:rsid w:val="00BE7200"/>
    <w:rsid w:val="00BF1ED8"/>
    <w:rsid w:val="00BF26D0"/>
    <w:rsid w:val="00BF7956"/>
    <w:rsid w:val="00C0073A"/>
    <w:rsid w:val="00C07EB4"/>
    <w:rsid w:val="00C1106B"/>
    <w:rsid w:val="00C114B0"/>
    <w:rsid w:val="00C2122E"/>
    <w:rsid w:val="00C24666"/>
    <w:rsid w:val="00C36922"/>
    <w:rsid w:val="00C36ACB"/>
    <w:rsid w:val="00C45F79"/>
    <w:rsid w:val="00C51357"/>
    <w:rsid w:val="00C53141"/>
    <w:rsid w:val="00C54B4C"/>
    <w:rsid w:val="00C5511A"/>
    <w:rsid w:val="00C57658"/>
    <w:rsid w:val="00C57E1B"/>
    <w:rsid w:val="00C628EA"/>
    <w:rsid w:val="00C6386A"/>
    <w:rsid w:val="00C66442"/>
    <w:rsid w:val="00C81992"/>
    <w:rsid w:val="00C93D83"/>
    <w:rsid w:val="00CA335D"/>
    <w:rsid w:val="00CC5564"/>
    <w:rsid w:val="00CD25E1"/>
    <w:rsid w:val="00CD3D89"/>
    <w:rsid w:val="00CE2475"/>
    <w:rsid w:val="00D05C1C"/>
    <w:rsid w:val="00D152E5"/>
    <w:rsid w:val="00D205F8"/>
    <w:rsid w:val="00D21A4A"/>
    <w:rsid w:val="00D32EC0"/>
    <w:rsid w:val="00D333FD"/>
    <w:rsid w:val="00D37271"/>
    <w:rsid w:val="00D54FC2"/>
    <w:rsid w:val="00D66375"/>
    <w:rsid w:val="00D700E9"/>
    <w:rsid w:val="00D76D93"/>
    <w:rsid w:val="00D92153"/>
    <w:rsid w:val="00DA5BEC"/>
    <w:rsid w:val="00DC663E"/>
    <w:rsid w:val="00DE27B9"/>
    <w:rsid w:val="00DE4A42"/>
    <w:rsid w:val="00DE4D86"/>
    <w:rsid w:val="00DE5A79"/>
    <w:rsid w:val="00DF2DF3"/>
    <w:rsid w:val="00DF5AAF"/>
    <w:rsid w:val="00E02CF3"/>
    <w:rsid w:val="00E11996"/>
    <w:rsid w:val="00E20FF8"/>
    <w:rsid w:val="00E408E7"/>
    <w:rsid w:val="00E54ACB"/>
    <w:rsid w:val="00E65038"/>
    <w:rsid w:val="00E662ED"/>
    <w:rsid w:val="00E7452C"/>
    <w:rsid w:val="00E76B35"/>
    <w:rsid w:val="00E84144"/>
    <w:rsid w:val="00E84A19"/>
    <w:rsid w:val="00E90D11"/>
    <w:rsid w:val="00E92AE5"/>
    <w:rsid w:val="00E95E28"/>
    <w:rsid w:val="00E97185"/>
    <w:rsid w:val="00EA4392"/>
    <w:rsid w:val="00EB1371"/>
    <w:rsid w:val="00EB6A75"/>
    <w:rsid w:val="00EB725F"/>
    <w:rsid w:val="00EB7666"/>
    <w:rsid w:val="00ED712F"/>
    <w:rsid w:val="00EE0EB1"/>
    <w:rsid w:val="00EE3EA8"/>
    <w:rsid w:val="00EE60F2"/>
    <w:rsid w:val="00EF0254"/>
    <w:rsid w:val="00EF0C14"/>
    <w:rsid w:val="00EF4D06"/>
    <w:rsid w:val="00F03D42"/>
    <w:rsid w:val="00F04456"/>
    <w:rsid w:val="00F234E6"/>
    <w:rsid w:val="00F24DFC"/>
    <w:rsid w:val="00F27DE0"/>
    <w:rsid w:val="00F533C0"/>
    <w:rsid w:val="00F702C4"/>
    <w:rsid w:val="00F7253C"/>
    <w:rsid w:val="00F8164C"/>
    <w:rsid w:val="00F83075"/>
    <w:rsid w:val="00F94093"/>
    <w:rsid w:val="00F96C3D"/>
    <w:rsid w:val="00FA2B49"/>
    <w:rsid w:val="00FB107B"/>
    <w:rsid w:val="00FB109E"/>
    <w:rsid w:val="00FD6E32"/>
    <w:rsid w:val="00FD71ED"/>
    <w:rsid w:val="00FE6C57"/>
    <w:rsid w:val="00FE6F6F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1C842D6F"/>
  <w15:docId w15:val="{7FA1CF39-7F5B-43B0-B035-49BD0D62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B912C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1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35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3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357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357"/>
    <w:rPr>
      <w:b/>
    </w:rPr>
  </w:style>
  <w:style w:type="paragraph" w:styleId="Revize">
    <w:name w:val="Revision"/>
    <w:hidden/>
    <w:uiPriority w:val="99"/>
    <w:semiHidden/>
    <w:rsid w:val="00C628E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90FB9"/>
    <w:rPr>
      <w:b/>
      <w:bCs/>
    </w:rPr>
  </w:style>
  <w:style w:type="character" w:styleId="Zdraznn">
    <w:name w:val="Emphasis"/>
    <w:basedOn w:val="Standardnpsmoodstavce"/>
    <w:uiPriority w:val="20"/>
    <w:qFormat/>
    <w:rsid w:val="00990FB9"/>
    <w:rPr>
      <w:i/>
      <w:iCs/>
    </w:rPr>
  </w:style>
  <w:style w:type="character" w:customStyle="1" w:styleId="apple-converted-space">
    <w:name w:val="apple-converted-space"/>
    <w:basedOn w:val="Standardnpsmoodstavce"/>
    <w:rsid w:val="00990FB9"/>
  </w:style>
  <w:style w:type="character" w:styleId="CittHTML">
    <w:name w:val="HTML Cite"/>
    <w:basedOn w:val="Standardnpsmoodstavce"/>
    <w:uiPriority w:val="99"/>
    <w:semiHidden/>
    <w:unhideWhenUsed/>
    <w:rsid w:val="00E408E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71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662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cela.kukan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petr@touax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09AB-5592-4FBA-8CE8-CC9D8132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Petr</dc:creator>
  <cp:lastModifiedBy>Marcela Kukaňová</cp:lastModifiedBy>
  <cp:revision>3</cp:revision>
  <cp:lastPrinted>2015-10-01T12:01:00Z</cp:lastPrinted>
  <dcterms:created xsi:type="dcterms:W3CDTF">2015-10-01T11:59:00Z</dcterms:created>
  <dcterms:modified xsi:type="dcterms:W3CDTF">2015-10-01T12:01:00Z</dcterms:modified>
</cp:coreProperties>
</file>